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C7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ФИНАНСОВ РОССИЙСКОЙ ФЕДЕРАЦИИ</w:t>
      </w:r>
    </w:p>
    <w:p w:rsidR="00000000" w:rsidRDefault="005C7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ПИСЬМО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августа </w:t>
      </w:r>
      <w:r>
        <w:rPr>
          <w:rFonts w:ascii="Times New Roman" w:hAnsi="Times New Roman" w:cs="Times New Roman"/>
          <w:b/>
          <w:bCs/>
          <w:sz w:val="36"/>
          <w:szCs w:val="36"/>
        </w:rPr>
        <w:t>2010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03-03-06/4/75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налоговой и таможенно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тарифной политики рассмотрел письмо по отдельным вопросам применения налогового законодательства саморегулируемой организацией и ее</w:t>
      </w:r>
      <w:r>
        <w:rPr>
          <w:rFonts w:ascii="Times New Roman" w:hAnsi="Times New Roman" w:cs="Times New Roman"/>
          <w:sz w:val="24"/>
          <w:szCs w:val="24"/>
        </w:rPr>
        <w:t xml:space="preserve"> членами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сообщает следующее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01.12.2007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саморегулируемых организациях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саморегулируемыми организациями признаются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членстве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объединяющие субъектов предпринимательской деятельности исходя из единства отрасли производства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рынка произведенных</w:t>
      </w:r>
      <w:r>
        <w:rPr>
          <w:rFonts w:ascii="Times New Roman" w:hAnsi="Times New Roman" w:cs="Times New Roman"/>
          <w:sz w:val="24"/>
          <w:szCs w:val="24"/>
        </w:rPr>
        <w:t xml:space="preserve">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объединяющие субъектов профессиональной деятельности определенного вида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организацией признается некоммерческая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созданная в соответствии с Гражданским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законом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12.01.1996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только при условии ее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всем установленным Законом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315-</w:t>
      </w:r>
      <w:r>
        <w:rPr>
          <w:rFonts w:ascii="Times New Roman" w:hAnsi="Times New Roman" w:cs="Times New Roman"/>
          <w:sz w:val="24"/>
          <w:szCs w:val="24"/>
        </w:rPr>
        <w:t>ФЗ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строительстве вводится система саморегулирования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отменяющая систему лицензирования работ в 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саморегулируемые организа</w:t>
      </w:r>
      <w:r>
        <w:rPr>
          <w:rFonts w:ascii="Times New Roman" w:hAnsi="Times New Roman" w:cs="Times New Roman"/>
          <w:sz w:val="24"/>
          <w:szCs w:val="24"/>
        </w:rPr>
        <w:t>ции законодательно наделены правом на выдачу свидетельств о допусках для осуществления определенных видов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влияет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саморегулируемым организациям в области инженерных </w:t>
      </w:r>
      <w:r>
        <w:rPr>
          <w:rFonts w:ascii="Times New Roman" w:hAnsi="Times New Roman" w:cs="Times New Roman"/>
          <w:sz w:val="24"/>
          <w:szCs w:val="24"/>
        </w:rPr>
        <w:t>изысканий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объектов капитального строительства установлены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</w:t>
      </w:r>
      <w:r>
        <w:rPr>
          <w:rFonts w:ascii="Times New Roman" w:hAnsi="Times New Roman" w:cs="Times New Roman"/>
          <w:sz w:val="24"/>
          <w:szCs w:val="24"/>
        </w:rPr>
        <w:t xml:space="preserve">тельного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Градостроительный кодекс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Статьями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саморегулируемые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в форме некоммерческого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членстве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выполняющих инженерные изыскания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</w:t>
      </w:r>
      <w:r>
        <w:rPr>
          <w:rFonts w:ascii="Times New Roman" w:hAnsi="Times New Roman" w:cs="Times New Roman"/>
          <w:sz w:val="24"/>
          <w:szCs w:val="24"/>
        </w:rPr>
        <w:t>щих строительство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Положениями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установл</w:t>
      </w:r>
      <w:r>
        <w:rPr>
          <w:rFonts w:ascii="Times New Roman" w:hAnsi="Times New Roman" w:cs="Times New Roman"/>
          <w:sz w:val="24"/>
          <w:szCs w:val="24"/>
        </w:rPr>
        <w:t>ено требование об уплате вступительного взноса и взноса в компенсационный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регулярных членских взносов 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в члены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положений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55.8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к осуществлению работ по инженерным изысканиям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строительному проектированию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капитальному ремонту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влияние на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безопасность объ</w:t>
      </w:r>
      <w:r>
        <w:rPr>
          <w:rFonts w:ascii="Times New Roman" w:hAnsi="Times New Roman" w:cs="Times New Roman"/>
          <w:sz w:val="24"/>
          <w:szCs w:val="24"/>
        </w:rPr>
        <w:t>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членами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уплатившие вступительный взнос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уплачивающие регулярные членские взносы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264</w:t>
      </w:r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 прочим расходам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производством и реализацией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расходы налогоплательщика в виде взн</w:t>
      </w:r>
      <w:r>
        <w:rPr>
          <w:rFonts w:ascii="Times New Roman" w:hAnsi="Times New Roman" w:cs="Times New Roman"/>
          <w:sz w:val="24"/>
          <w:szCs w:val="24"/>
        </w:rPr>
        <w:t>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вкладов и иных обязательных платежей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уплачиваемых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уплата таких взносов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вкладов и иных обязательных платежей является условием для осуществления деятельности налогоплательщиками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плательщиками таких взносов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вкла</w:t>
      </w:r>
      <w:r>
        <w:rPr>
          <w:rFonts w:ascii="Times New Roman" w:hAnsi="Times New Roman" w:cs="Times New Roman"/>
          <w:sz w:val="24"/>
          <w:szCs w:val="24"/>
        </w:rPr>
        <w:t>дов или иных обязательных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в виде уплаты вступительных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членских взносов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взносов в компенсационный фонд саморегулируемой организации для целей налогообложения прибыли признаются в налоговом учете при применении метода начисления е</w:t>
      </w:r>
      <w:r>
        <w:rPr>
          <w:rFonts w:ascii="Times New Roman" w:hAnsi="Times New Roman" w:cs="Times New Roman"/>
          <w:sz w:val="24"/>
          <w:szCs w:val="24"/>
        </w:rPr>
        <w:t xml:space="preserve">диновременно в соответствии с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пп.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 Кодекса в целях налогообложения прибыли расходами признаются обоснованные и документально подтвержденные затраты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убытки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понесенные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обоснованными расходами по</w:t>
      </w:r>
      <w:r>
        <w:rPr>
          <w:rFonts w:ascii="Times New Roman" w:hAnsi="Times New Roman" w:cs="Times New Roman"/>
          <w:sz w:val="24"/>
          <w:szCs w:val="24"/>
        </w:rPr>
        <w:t>нимаются экономически оправданные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оценка которых выражена в денежной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документально подтвержденными расходами подразумеваются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подтвержденные в том числе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оформленными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Подтвердить осуществленные расходы на уплату взносов в компенсационный фонд саморегулируемой организации налогоплательщик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член данной саморегулируемой организации может следующими документами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копиями свидетельств о членстве в саморегулируемой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платежными поручениями на перечисление взносов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счетами и другими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выданными саморегулируемой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Кодекса при определении налоговой базы не учитываются целевые поступления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целевых поступлений в виде подакцизных товаров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 таким целевым поступлениям относятся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целевые поступления на содержание некоммерческих организаций и в</w:t>
      </w:r>
      <w:r>
        <w:rPr>
          <w:rFonts w:ascii="Times New Roman" w:hAnsi="Times New Roman" w:cs="Times New Roman"/>
          <w:sz w:val="24"/>
          <w:szCs w:val="24"/>
        </w:rPr>
        <w:t>едение ими уставной деятельности в виде вступительных взносов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осуществленных в соответствии с законодательством Российской Федерации 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гражданское законодательство Российской Федерации не содержит определения пон</w:t>
      </w:r>
      <w:r>
        <w:rPr>
          <w:rFonts w:ascii="Times New Roman" w:hAnsi="Times New Roman" w:cs="Times New Roman"/>
          <w:sz w:val="24"/>
          <w:szCs w:val="24"/>
        </w:rPr>
        <w:t xml:space="preserve">ятия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вступительный взнос в саморегулируемую организацию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по нашему мнению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неотъемлемым условием принятия в члены саморегулируемой организации и направляемый на формирование имущества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целевым образом для ведения уставной деятельности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315-ФЗ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рассматриваться для целей налог</w:t>
      </w:r>
      <w:r>
        <w:rPr>
          <w:rFonts w:ascii="Times New Roman" w:hAnsi="Times New Roman" w:cs="Times New Roman"/>
          <w:sz w:val="24"/>
          <w:szCs w:val="24"/>
        </w:rPr>
        <w:t>ообложения прибыли как часть вступительного взноса в саморегулируемую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Исходя из изложенного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доходы в виде взносов в компенсационный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уплачиваемые членами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нашему мнению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целей налогообложения прибыли в</w:t>
      </w:r>
      <w:r>
        <w:rPr>
          <w:rFonts w:ascii="Times New Roman" w:hAnsi="Times New Roman" w:cs="Times New Roman"/>
          <w:sz w:val="24"/>
          <w:szCs w:val="24"/>
        </w:rPr>
        <w:t xml:space="preserve"> составе доходов данной саморегулируемой организации не учитываются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указанные взносы удовлетворяют указанным выше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налогоплательщики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получатели целевых поступлений обязаны вести раздельный учет доходов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полученных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роизведенных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рамках целевых 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346.16</w:t>
      </w:r>
      <w:r>
        <w:rPr>
          <w:rFonts w:ascii="Times New Roman" w:hAnsi="Times New Roman" w:cs="Times New Roman"/>
          <w:sz w:val="24"/>
          <w:szCs w:val="24"/>
        </w:rPr>
        <w:t xml:space="preserve"> Кодекса определен перечень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учитываемых при определении объекта налогообложения у налогоплате</w:t>
      </w:r>
      <w:r>
        <w:rPr>
          <w:rFonts w:ascii="Times New Roman" w:hAnsi="Times New Roman" w:cs="Times New Roman"/>
          <w:sz w:val="24"/>
          <w:szCs w:val="24"/>
        </w:rPr>
        <w:t>льщиков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применяющих упрощенную систему налогообложения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УСНО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Данный перечень расходов является закрытым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вступительные и членские взносы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уплачиваемые саморегулируемой организации с целью получения допуска к проведению строительных раб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в данном перечне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 не вправе включать их в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учитываемые при исчислении налога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уплачиваемого в связи с применением УСНО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346.15</w:t>
      </w:r>
      <w:r>
        <w:rPr>
          <w:rFonts w:ascii="Times New Roman" w:hAnsi="Times New Roman" w:cs="Times New Roman"/>
          <w:sz w:val="24"/>
          <w:szCs w:val="24"/>
        </w:rPr>
        <w:t xml:space="preserve"> Кодекса при определении объекта налогообложения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применяющими УСНО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учитываются доходы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251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вышеприведенных положений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 Кодекса доходы в виде взносов в компенсационный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уплачиваемые членами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целей налогообложения налогом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уплачиваемым в связи с применением упрощенной системы налогоо</w:t>
      </w:r>
      <w:r>
        <w:rPr>
          <w:rFonts w:ascii="Times New Roman" w:hAnsi="Times New Roman" w:cs="Times New Roman"/>
          <w:sz w:val="24"/>
          <w:szCs w:val="24"/>
        </w:rPr>
        <w:t>бложения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составе доходов данной саморегулируемой организации не учитываются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данные взносы удовлетворяют указанным выше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Исчерпывающий перечень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учитываемых при определении налоговой базы по налогу на прибыль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приведен 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251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поступления на содержание и ведение уставной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безвозмездно от других организаций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и использованные указанными получателями по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учитываемые при определении налоговой базы по налогу на прибыль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определены 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поименованы 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251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налогообложению налогом на прибыль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общеустановленном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являющейся в соответствии с Законом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315-ФЗ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инвестирования средств компенс</w:t>
      </w:r>
      <w:r>
        <w:rPr>
          <w:rFonts w:ascii="Times New Roman" w:hAnsi="Times New Roman" w:cs="Times New Roman"/>
          <w:sz w:val="24"/>
          <w:szCs w:val="24"/>
        </w:rPr>
        <w:t>ационного фонда не отнесены Кодексом к целевым поступлениям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учитываемым при определении налоговой базы по налогу на прибыль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доходы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 размещения денежных средств на банковских счетах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инвестирования средств компенсационного фонда саморегулируемой организации в ценные бумаги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учету в целях налогообложения прибыли в составе внереализационных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доходы учитываются также в целях налогообложения налогом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</w:t>
      </w:r>
      <w:r>
        <w:rPr>
          <w:rFonts w:ascii="Times New Roman" w:hAnsi="Times New Roman" w:cs="Times New Roman"/>
          <w:sz w:val="24"/>
          <w:szCs w:val="24"/>
        </w:rPr>
        <w:t>ым в связи с применением УСНО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следует учитывать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соответствии со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отношения по установлению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введению и взиманию налогов и сборов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регулируются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норма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которой доход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инвестир</w:t>
      </w:r>
      <w:r>
        <w:rPr>
          <w:rFonts w:ascii="Times New Roman" w:hAnsi="Times New Roman" w:cs="Times New Roman"/>
          <w:sz w:val="24"/>
          <w:szCs w:val="24"/>
        </w:rPr>
        <w:t>ования средств компенсационного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на пополнение компенсационного фонда и покрытие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обеспечением надлежащих условий инвестирования средств компенсационного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основанием для освобождения полученного дох</w:t>
      </w:r>
      <w:r>
        <w:rPr>
          <w:rFonts w:ascii="Times New Roman" w:hAnsi="Times New Roman" w:cs="Times New Roman"/>
          <w:sz w:val="24"/>
          <w:szCs w:val="24"/>
        </w:rPr>
        <w:t>ода от налогообложения налогом на прибыль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налогом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уплачиваемым в связи с применением УСНО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Ставки налога на прибыль организаций применительно к конкретному виду дохода установлены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284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346.20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для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применяющих УСНО с объектом налогообложения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ставка налога установлена в размере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объектом налогообложения являются доходы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уменьшенные на величину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налоговая ставка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 могут быть установл</w:t>
      </w:r>
      <w:r>
        <w:rPr>
          <w:rFonts w:ascii="Times New Roman" w:hAnsi="Times New Roman" w:cs="Times New Roman"/>
          <w:sz w:val="24"/>
          <w:szCs w:val="24"/>
        </w:rPr>
        <w:t xml:space="preserve">ены дифференцированные налоговые ставки в пределах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зависимости от категорий налогоплательщиков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информируем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согласно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Кодекса применение УСНО организациями предусматривает их освобождение от обязанности по уплате налога на прибыль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налога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уплачиваемого с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облагаемых по налоговым ставкам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УСНО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признаются налогопла</w:t>
      </w:r>
      <w:r>
        <w:rPr>
          <w:rFonts w:ascii="Times New Roman" w:hAnsi="Times New Roman" w:cs="Times New Roman"/>
          <w:sz w:val="24"/>
          <w:szCs w:val="24"/>
        </w:rPr>
        <w:t>тельщиками налога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налога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уплате в соответствии с Кодексом при ввозе товаров на таможенную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налога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174.1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заполнения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листа 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Отчет о целевом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использовании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денежных средств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рамках благотворительной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целевых поступлений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формы налоговой декларации по налогу на прибыль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установлен П</w:t>
      </w:r>
      <w:r>
        <w:rPr>
          <w:rFonts w:ascii="Times New Roman" w:hAnsi="Times New Roman" w:cs="Times New Roman"/>
          <w:sz w:val="24"/>
          <w:szCs w:val="24"/>
        </w:rPr>
        <w:t xml:space="preserve">риказом Минфина России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05.05.2008 N 54н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предусматривает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Отчет составляют налогоплательщики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средства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целевые поступления и други</w:t>
      </w:r>
      <w:r>
        <w:rPr>
          <w:rFonts w:ascii="Times New Roman" w:hAnsi="Times New Roman" w:cs="Times New Roman"/>
          <w:sz w:val="24"/>
          <w:szCs w:val="24"/>
        </w:rPr>
        <w:t>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Отчет не включаются средства </w:t>
      </w:r>
      <w:r>
        <w:rPr>
          <w:rFonts w:ascii="Times New Roman" w:hAnsi="Times New Roman" w:cs="Times New Roman"/>
          <w:sz w:val="24"/>
          <w:szCs w:val="24"/>
        </w:rPr>
        <w:t>в виде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бюджетным учреждениям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в виде субсидий автономным учреждениям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изложенного в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письма полагаем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саморегулируемая организация отражает в Отчете полученные взносы в компенсационный</w:t>
      </w:r>
      <w:r>
        <w:rPr>
          <w:rFonts w:ascii="Times New Roman" w:hAnsi="Times New Roman" w:cs="Times New Roman"/>
          <w:sz w:val="24"/>
          <w:szCs w:val="24"/>
        </w:rPr>
        <w:t xml:space="preserve"> фонд в качестве целевых поступлений в виде вступительного взноса с кодом вида поступлений </w:t>
      </w: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заполнения налоговой декларации по налогу на прибыл</w:t>
      </w:r>
      <w:r>
        <w:rPr>
          <w:rFonts w:ascii="Times New Roman" w:hAnsi="Times New Roman" w:cs="Times New Roman"/>
          <w:sz w:val="24"/>
          <w:szCs w:val="24"/>
        </w:rPr>
        <w:t>ь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Приказом Минфина России от </w:t>
      </w:r>
      <w:r>
        <w:rPr>
          <w:rFonts w:ascii="Times New Roman" w:hAnsi="Times New Roman" w:cs="Times New Roman"/>
          <w:sz w:val="24"/>
          <w:szCs w:val="24"/>
        </w:rPr>
        <w:t>05.05.2008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Кодекса налогоплательщики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организации помимо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указанной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письменно сообщать в налоговый орган по месту нахождения организации обо всех случаях участия в российских и иностранных ор</w:t>
      </w:r>
      <w:r>
        <w:rPr>
          <w:rFonts w:ascii="Times New Roman" w:hAnsi="Times New Roman" w:cs="Times New Roman"/>
          <w:sz w:val="24"/>
          <w:szCs w:val="24"/>
        </w:rPr>
        <w:t>ганизациях в срок не позднее одного месяца со дня начала такого участия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315-</w:t>
      </w:r>
      <w:r>
        <w:rPr>
          <w:rFonts w:ascii="Times New Roman" w:hAnsi="Times New Roman" w:cs="Times New Roman"/>
          <w:sz w:val="24"/>
          <w:szCs w:val="24"/>
        </w:rPr>
        <w:t>ФЗ под субъектами предпринимательской деятельности понимаются индив</w:t>
      </w:r>
      <w:r>
        <w:rPr>
          <w:rFonts w:ascii="Times New Roman" w:hAnsi="Times New Roman" w:cs="Times New Roman"/>
          <w:sz w:val="24"/>
          <w:szCs w:val="24"/>
        </w:rPr>
        <w:t>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установленном порядке и осуществляющие определяемую в соответствии с Гражданским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</w:t>
      </w:r>
      <w:r>
        <w:rPr>
          <w:rFonts w:ascii="Times New Roman" w:hAnsi="Times New Roman" w:cs="Times New Roman"/>
          <w:sz w:val="24"/>
          <w:szCs w:val="24"/>
        </w:rPr>
        <w:t>ии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членами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обязаны сообщать в налоговый орган по месту своего нахождения обо всех случаях участия в российских и иностранных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</w:t>
      </w:r>
      <w:r>
        <w:rPr>
          <w:rFonts w:ascii="Times New Roman" w:hAnsi="Times New Roman" w:cs="Times New Roman"/>
          <w:sz w:val="24"/>
          <w:szCs w:val="24"/>
        </w:rPr>
        <w:t>сле и об участии в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сообщения об участии в российских и иностранных организациях утверждена Приказом ФНС России от </w:t>
      </w:r>
      <w:r>
        <w:rPr>
          <w:rFonts w:ascii="Times New Roman" w:hAnsi="Times New Roman" w:cs="Times New Roman"/>
          <w:sz w:val="24"/>
          <w:szCs w:val="24"/>
        </w:rPr>
        <w:t>21.04.2009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sz w:val="24"/>
          <w:szCs w:val="24"/>
        </w:rPr>
        <w:t>-7-6/25</w:t>
      </w:r>
      <w:r>
        <w:rPr>
          <w:rFonts w:ascii="Times New Roman" w:hAnsi="Times New Roman" w:cs="Times New Roman"/>
          <w:sz w:val="24"/>
          <w:szCs w:val="24"/>
        </w:rPr>
        <w:t>2@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форм сообщений налогоплательщиками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в установленный срок налогоплательщиком в налоговые органы документов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Кодексом и иными актами законодательства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влечет взы</w:t>
      </w:r>
      <w:r>
        <w:rPr>
          <w:rFonts w:ascii="Times New Roman" w:hAnsi="Times New Roman" w:cs="Times New Roman"/>
          <w:sz w:val="24"/>
          <w:szCs w:val="24"/>
        </w:rPr>
        <w:t xml:space="preserve">скание штрафа в соответствии со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126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7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директора 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Департамента налоговой </w:t>
      </w:r>
    </w:p>
    <w:p w:rsidR="00000000" w:rsidRDefault="005C753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таможенно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тарифной политики </w:t>
      </w:r>
    </w:p>
    <w:p w:rsidR="005C753A" w:rsidRDefault="005C753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РАЗГУЛИН </w:t>
      </w:r>
    </w:p>
    <w:sectPr w:rsidR="005C75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13"/>
    <w:rsid w:val="004F6813"/>
    <w:rsid w:val="005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114595#l1328" TargetMode="External"/><Relationship Id="rId18" Type="http://schemas.openxmlformats.org/officeDocument/2006/relationships/hyperlink" Target="https://normativ.kontur.ru/document?moduleid=1&amp;documentid=146796#l59371" TargetMode="External"/><Relationship Id="rId26" Type="http://schemas.openxmlformats.org/officeDocument/2006/relationships/hyperlink" Target="https://normativ.kontur.ru/document?moduleid=1&amp;documentid=123756#l0" TargetMode="External"/><Relationship Id="rId39" Type="http://schemas.openxmlformats.org/officeDocument/2006/relationships/hyperlink" Target="https://normativ.kontur.ru/document?moduleid=1&amp;documentid=149661#l5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146796#l57925" TargetMode="External"/><Relationship Id="rId34" Type="http://schemas.openxmlformats.org/officeDocument/2006/relationships/hyperlink" Target="https://normativ.kontur.ru/document?moduleid=1&amp;documentid=146796#l53374" TargetMode="External"/><Relationship Id="rId42" Type="http://schemas.openxmlformats.org/officeDocument/2006/relationships/hyperlink" Target="https://normativ.kontur.ru/document?moduleid=1&amp;documentid=123756#l13" TargetMode="External"/><Relationship Id="rId47" Type="http://schemas.openxmlformats.org/officeDocument/2006/relationships/hyperlink" Target="https://normativ.kontur.ru/document?moduleid=1&amp;documentid=146817#l2809" TargetMode="External"/><Relationship Id="rId7" Type="http://schemas.openxmlformats.org/officeDocument/2006/relationships/hyperlink" Target="https://normativ.kontur.ru/document?moduleid=1&amp;documentid=64903#l0" TargetMode="External"/><Relationship Id="rId12" Type="http://schemas.openxmlformats.org/officeDocument/2006/relationships/hyperlink" Target="https://normativ.kontur.ru/document?moduleid=1&amp;documentid=114595#l1319" TargetMode="External"/><Relationship Id="rId17" Type="http://schemas.openxmlformats.org/officeDocument/2006/relationships/hyperlink" Target="https://normativ.kontur.ru/document?moduleid=1&amp;documentid=146796#l59045" TargetMode="External"/><Relationship Id="rId25" Type="http://schemas.openxmlformats.org/officeDocument/2006/relationships/hyperlink" Target="https://normativ.kontur.ru/document?moduleid=1&amp;documentid=146796#l54021" TargetMode="External"/><Relationship Id="rId33" Type="http://schemas.openxmlformats.org/officeDocument/2006/relationships/hyperlink" Target="https://normativ.kontur.ru/document?moduleid=1&amp;documentid=146796#l54598" TargetMode="External"/><Relationship Id="rId38" Type="http://schemas.openxmlformats.org/officeDocument/2006/relationships/hyperlink" Target="https://normativ.kontur.ru/document?moduleid=1&amp;documentid=146796#l59371" TargetMode="External"/><Relationship Id="rId46" Type="http://schemas.openxmlformats.org/officeDocument/2006/relationships/hyperlink" Target="https://normativ.kontur.ru/document?moduleid=1&amp;documentid=146817#l22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146796#l54419" TargetMode="External"/><Relationship Id="rId20" Type="http://schemas.openxmlformats.org/officeDocument/2006/relationships/hyperlink" Target="https://normativ.kontur.ru/document?moduleid=1&amp;documentid=146796#l55520" TargetMode="External"/><Relationship Id="rId29" Type="http://schemas.openxmlformats.org/officeDocument/2006/relationships/hyperlink" Target="https://normativ.kontur.ru/document?moduleid=1&amp;documentid=146796#l54588" TargetMode="External"/><Relationship Id="rId41" Type="http://schemas.openxmlformats.org/officeDocument/2006/relationships/hyperlink" Target="https://normativ.kontur.ru/document?moduleid=1&amp;documentid=146817#l224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677#l0" TargetMode="External"/><Relationship Id="rId11" Type="http://schemas.openxmlformats.org/officeDocument/2006/relationships/hyperlink" Target="https://normativ.kontur.ru/document?moduleid=1&amp;documentid=114595#l1298" TargetMode="External"/><Relationship Id="rId24" Type="http://schemas.openxmlformats.org/officeDocument/2006/relationships/hyperlink" Target="https://normativ.kontur.ru/document?moduleid=1&amp;documentid=146796#l59371" TargetMode="External"/><Relationship Id="rId32" Type="http://schemas.openxmlformats.org/officeDocument/2006/relationships/hyperlink" Target="https://normativ.kontur.ru/document?moduleid=1&amp;documentid=146796#l54592" TargetMode="External"/><Relationship Id="rId37" Type="http://schemas.openxmlformats.org/officeDocument/2006/relationships/hyperlink" Target="https://normativ.kontur.ru/document?moduleid=1&amp;documentid=146796#l54021" TargetMode="External"/><Relationship Id="rId40" Type="http://schemas.openxmlformats.org/officeDocument/2006/relationships/hyperlink" Target="https://normativ.kontur.ru/document?moduleid=1&amp;documentid=146817#l2248" TargetMode="External"/><Relationship Id="rId45" Type="http://schemas.openxmlformats.org/officeDocument/2006/relationships/hyperlink" Target="https://normativ.kontur.ru/document?moduleid=1&amp;documentid=146817#l2247" TargetMode="External"/><Relationship Id="rId5" Type="http://schemas.openxmlformats.org/officeDocument/2006/relationships/hyperlink" Target="https://normativ.kontur.ru/document?moduleid=1&amp;documentid=123756#l15" TargetMode="External"/><Relationship Id="rId15" Type="http://schemas.openxmlformats.org/officeDocument/2006/relationships/hyperlink" Target="https://normativ.kontur.ru/document?moduleid=1&amp;documentid=146796#l56928" TargetMode="External"/><Relationship Id="rId23" Type="http://schemas.openxmlformats.org/officeDocument/2006/relationships/hyperlink" Target="https://normativ.kontur.ru/document?moduleid=1&amp;documentid=146796#l54021" TargetMode="External"/><Relationship Id="rId28" Type="http://schemas.openxmlformats.org/officeDocument/2006/relationships/hyperlink" Target="https://normativ.kontur.ru/document?moduleid=1&amp;documentid=123756#l129" TargetMode="External"/><Relationship Id="rId36" Type="http://schemas.openxmlformats.org/officeDocument/2006/relationships/hyperlink" Target="https://normativ.kontur.ru/document?moduleid=1&amp;documentid=149661#l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14595#l1296" TargetMode="External"/><Relationship Id="rId19" Type="http://schemas.openxmlformats.org/officeDocument/2006/relationships/hyperlink" Target="https://normativ.kontur.ru/document?moduleid=1&amp;documentid=123756#l0" TargetMode="External"/><Relationship Id="rId31" Type="http://schemas.openxmlformats.org/officeDocument/2006/relationships/hyperlink" Target="https://normativ.kontur.ru/document?moduleid=1&amp;documentid=146796#l55486" TargetMode="External"/><Relationship Id="rId44" Type="http://schemas.openxmlformats.org/officeDocument/2006/relationships/hyperlink" Target="https://normativ.kontur.ru/document?moduleid=1&amp;documentid=136369#l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4595#l1264" TargetMode="External"/><Relationship Id="rId14" Type="http://schemas.openxmlformats.org/officeDocument/2006/relationships/hyperlink" Target="https://normativ.kontur.ru/document?moduleid=1&amp;documentid=114595#l1332" TargetMode="External"/><Relationship Id="rId22" Type="http://schemas.openxmlformats.org/officeDocument/2006/relationships/hyperlink" Target="https://normativ.kontur.ru/document?moduleid=1&amp;documentid=146796#l54021" TargetMode="External"/><Relationship Id="rId27" Type="http://schemas.openxmlformats.org/officeDocument/2006/relationships/hyperlink" Target="https://normativ.kontur.ru/document?moduleid=1&amp;documentid=146817#l2170" TargetMode="External"/><Relationship Id="rId30" Type="http://schemas.openxmlformats.org/officeDocument/2006/relationships/hyperlink" Target="https://normativ.kontur.ru/document?moduleid=1&amp;documentid=146796#l55565" TargetMode="External"/><Relationship Id="rId35" Type="http://schemas.openxmlformats.org/officeDocument/2006/relationships/hyperlink" Target="https://normativ.kontur.ru/document?moduleid=1&amp;documentid=149661#l782" TargetMode="External"/><Relationship Id="rId43" Type="http://schemas.openxmlformats.org/officeDocument/2006/relationships/hyperlink" Target="https://normativ.kontur.ru/document?moduleid=1&amp;documentid=11677#l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161189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Иньшина С. Анна</dc:creator>
  <cp:lastModifiedBy>Иньшина С. Анна</cp:lastModifiedBy>
  <cp:revision>2</cp:revision>
  <dcterms:created xsi:type="dcterms:W3CDTF">2018-07-17T11:49:00Z</dcterms:created>
  <dcterms:modified xsi:type="dcterms:W3CDTF">2018-07-17T11:49:00Z</dcterms:modified>
</cp:coreProperties>
</file>